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exact"/>
        <w:jc w:val="left"/>
        <w:rPr>
          <w:rFonts w:ascii="黑体" w:eastAsia="黑体"/>
          <w:sz w:val="32"/>
        </w:rPr>
      </w:pPr>
      <w:r>
        <w:rPr>
          <w:rFonts w:hint="eastAsia" w:ascii="黑体" w:eastAsia="黑体"/>
          <w:sz w:val="32"/>
        </w:rPr>
        <w:t>附件1</w:t>
      </w:r>
    </w:p>
    <w:p>
      <w:pPr>
        <w:widowControl w:val="0"/>
        <w:wordWrap/>
        <w:adjustRightInd/>
        <w:snapToGrid/>
        <w:spacing w:line="560" w:lineRule="exact"/>
        <w:ind w:left="0" w:leftChars="0" w:right="0" w:firstLine="0" w:firstLineChars="0"/>
        <w:jc w:val="both"/>
        <w:textAlignment w:val="top"/>
        <w:outlineLvl w:val="9"/>
        <w:rPr>
          <w:rFonts w:hint="eastAsia" w:ascii="方正小标宋简体" w:hAnsi="方正小标宋简体" w:eastAsia="方正小标宋简体" w:cs="方正小标宋简体"/>
          <w:sz w:val="22"/>
          <w:szCs w:val="22"/>
        </w:rPr>
      </w:pPr>
    </w:p>
    <w:p>
      <w:pPr>
        <w:widowControl w:val="0"/>
        <w:wordWrap/>
        <w:adjustRightInd/>
        <w:snapToGrid/>
        <w:spacing w:line="680" w:lineRule="exact"/>
        <w:ind w:left="0" w:leftChars="0" w:right="0" w:firstLine="0" w:firstLineChars="0"/>
        <w:jc w:val="center"/>
        <w:textAlignment w:val="top"/>
        <w:outlineLvl w:val="9"/>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本次检验项目</w:t>
      </w:r>
    </w:p>
    <w:p>
      <w:pPr>
        <w:widowControl w:val="0"/>
        <w:wordWrap/>
        <w:adjustRightInd/>
        <w:snapToGrid/>
        <w:spacing w:line="560" w:lineRule="exact"/>
        <w:ind w:left="0" w:leftChars="0" w:right="0" w:firstLine="652" w:firstLineChars="203"/>
        <w:jc w:val="left"/>
        <w:outlineLvl w:val="9"/>
        <w:rPr>
          <w:rFonts w:ascii="Verdana" w:hAnsi="Times New Roman" w:eastAsia="宋体" w:cs="Times New Roman"/>
          <w:b/>
          <w:sz w:val="32"/>
          <w:szCs w:val="32"/>
        </w:rPr>
      </w:pPr>
      <w:r>
        <w:rPr>
          <w:rFonts w:hint="eastAsia" w:ascii="Verdana" w:hAnsi="Times New Roman" w:eastAsia="宋体" w:cs="Times New Roman"/>
          <w:b/>
          <w:sz w:val="32"/>
          <w:szCs w:val="32"/>
        </w:rPr>
        <w:t>一、其他调味料</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抽检依据是</w:t>
      </w:r>
      <w:r>
        <w:rPr>
          <w:rFonts w:hint="eastAsia" w:ascii="仿宋" w:hAnsi="仿宋" w:eastAsia="仿宋" w:cs="仿宋"/>
          <w:sz w:val="32"/>
          <w:szCs w:val="32"/>
        </w:rPr>
        <w:t>《食品中可能违法添加的非食用物质和易滥用的食品添加剂品种名单（第一批）》（</w:t>
      </w:r>
      <w:r>
        <w:rPr>
          <w:rFonts w:ascii="仿宋" w:hAnsi="仿宋" w:eastAsia="仿宋" w:cs="仿宋"/>
          <w:sz w:val="32"/>
          <w:szCs w:val="32"/>
        </w:rPr>
        <w:t>食品整治办[2008]3号</w:t>
      </w:r>
      <w:r>
        <w:rPr>
          <w:rFonts w:hint="eastAsia" w:ascii="仿宋" w:hAnsi="仿宋" w:eastAsia="仿宋" w:cs="仿宋"/>
          <w:sz w:val="32"/>
          <w:szCs w:val="32"/>
        </w:rPr>
        <w:t>）</w:t>
      </w:r>
      <w:r>
        <w:rPr>
          <w:rFonts w:ascii="仿宋" w:hAnsi="仿宋" w:eastAsia="仿宋" w:cs="仿宋"/>
          <w:sz w:val="32"/>
          <w:szCs w:val="32"/>
        </w:rPr>
        <w:t>、《食品安全国家</w:t>
      </w:r>
      <w:r>
        <w:rPr>
          <w:rFonts w:hint="eastAsia" w:ascii="仿宋" w:hAnsi="仿宋" w:eastAsia="仿宋" w:cs="仿宋"/>
          <w:sz w:val="32"/>
          <w:szCs w:val="32"/>
          <w:lang w:eastAsia="zh-CN"/>
        </w:rPr>
        <w:t>标准</w:t>
      </w:r>
      <w:r>
        <w:rPr>
          <w:rFonts w:ascii="仿宋" w:hAnsi="仿宋" w:eastAsia="仿宋" w:cs="仿宋"/>
          <w:sz w:val="32"/>
          <w:szCs w:val="32"/>
        </w:rPr>
        <w:t>食品中污染物限量》</w:t>
      </w:r>
      <w:r>
        <w:rPr>
          <w:rFonts w:hint="eastAsia" w:ascii="仿宋" w:hAnsi="仿宋" w:eastAsia="仿宋" w:cs="仿宋"/>
          <w:sz w:val="32"/>
          <w:szCs w:val="32"/>
        </w:rPr>
        <w:t>（</w:t>
      </w:r>
      <w:r>
        <w:rPr>
          <w:rFonts w:ascii="仿宋" w:hAnsi="仿宋" w:eastAsia="仿宋" w:cs="仿宋"/>
          <w:sz w:val="32"/>
          <w:szCs w:val="32"/>
        </w:rPr>
        <w:t>GB 2762-2017</w:t>
      </w:r>
      <w:r>
        <w:rPr>
          <w:rFonts w:hint="eastAsia" w:ascii="仿宋" w:hAnsi="仿宋" w:eastAsia="仿宋" w:cs="仿宋"/>
          <w:sz w:val="32"/>
          <w:szCs w:val="32"/>
        </w:rPr>
        <w:t>）</w:t>
      </w:r>
      <w:r>
        <w:rPr>
          <w:rFonts w:ascii="仿宋" w:hAnsi="仿宋" w:eastAsia="仿宋" w:cs="仿宋"/>
          <w:sz w:val="32"/>
          <w:szCs w:val="32"/>
        </w:rPr>
        <w:t>、《食品安全国家标准</w:t>
      </w:r>
      <w:bookmarkStart w:id="0" w:name="_GoBack"/>
      <w:bookmarkEnd w:id="0"/>
      <w:r>
        <w:rPr>
          <w:rFonts w:ascii="仿宋" w:hAnsi="仿宋" w:eastAsia="仿宋" w:cs="仿宋"/>
          <w:sz w:val="32"/>
          <w:szCs w:val="32"/>
        </w:rPr>
        <w:t>食品添加剂使用标准》</w:t>
      </w:r>
      <w:r>
        <w:rPr>
          <w:rFonts w:hint="eastAsia" w:ascii="仿宋" w:hAnsi="仿宋" w:eastAsia="仿宋" w:cs="仿宋"/>
          <w:sz w:val="32"/>
          <w:szCs w:val="32"/>
        </w:rPr>
        <w:t>（</w:t>
      </w:r>
      <w:r>
        <w:rPr>
          <w:rFonts w:ascii="仿宋" w:hAnsi="仿宋" w:eastAsia="仿宋" w:cs="仿宋"/>
          <w:sz w:val="32"/>
          <w:szCs w:val="32"/>
        </w:rPr>
        <w:t>GB 2760-2014</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《关于印发食品中可能违法添加的非食用物质和易滥用的食品添加剂品种名单（第五批）的通知》（</w:t>
      </w:r>
      <w:r>
        <w:rPr>
          <w:rFonts w:ascii="仿宋" w:hAnsi="仿宋" w:eastAsia="仿宋" w:cs="仿宋"/>
          <w:sz w:val="32"/>
          <w:szCs w:val="32"/>
        </w:rPr>
        <w:t>整顿办函[2011]1号</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lang w:eastAsia="zh-CN"/>
        </w:rPr>
        <w:t>食品安全国家标准食品中致病菌限量</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GB 29921-2013</w:t>
      </w:r>
      <w:r>
        <w:rPr>
          <w:rFonts w:hint="eastAsia" w:ascii="仿宋" w:hAnsi="仿宋" w:eastAsia="仿宋" w:cs="仿宋"/>
          <w:sz w:val="32"/>
          <w:szCs w:val="32"/>
        </w:rPr>
        <w:t>）</w:t>
      </w:r>
      <w:r>
        <w:rPr>
          <w:rFonts w:ascii="仿宋" w:hAnsi="仿宋" w:eastAsia="仿宋" w:cs="仿宋"/>
          <w:sz w:val="32"/>
          <w:szCs w:val="32"/>
        </w:rPr>
        <w:t>等标准及产品明示标准和指标的要求。</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1. 辣椒、花椒、辣椒粉、花椒粉抽检项目包括山梨酸及其钾盐(以山梨酸计)、罗丹明B、苏丹红I、苏丹红II、苏丹红III、苏丹红IV、苯甲酸及其钠盐(以苯甲酸计)、铅(以Pb计)等8个指标。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2. 坚果与籽类的泥(酱)、包括花生酱等抽检项目包括山梨酸及其钾盐(以山梨酸计)、沙门氏菌、脱氢乙酸及其钠盐(以脱氢乙酸计)、苯甲酸及其钠盐(以苯甲酸计)、铅(以Pb计)等5个指标。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3. 其他液体调味料抽检项目包括山梨酸及其钾盐(以山梨酸计)、总砷(以As计)、甜蜜素(以环己基氨基磺酸计)、糖精钠(以糖精计)、脱氢乙酸及其钠盐(以脱氢乙酸计)、苯甲酸及其钠盐(以苯甲酸计)、镉(以Cd计)等7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4. 其他固体调味料抽检项目包括山梨酸及其钾盐(以山梨酸计)、甜蜜素(以环己基氨基磺酸计)、糖精钠(以糖精计)、脱氢乙酸及其钠盐(以脱氢乙酸计)、苏丹红I、苏丹红II、苏丹红III、苏丹红IV、苯甲酸及其钠盐(以苯甲酸计)、铅(以Pb计)等1</w:t>
      </w:r>
      <w:r>
        <w:rPr>
          <w:rFonts w:hint="eastAsia" w:ascii="仿宋" w:hAnsi="仿宋" w:eastAsia="仿宋" w:cs="仿宋"/>
          <w:sz w:val="32"/>
          <w:szCs w:val="32"/>
        </w:rPr>
        <w:t>0</w:t>
      </w:r>
      <w:r>
        <w:rPr>
          <w:rFonts w:ascii="仿宋" w:hAnsi="仿宋" w:eastAsia="仿宋" w:cs="仿宋"/>
          <w:sz w:val="32"/>
          <w:szCs w:val="32"/>
        </w:rPr>
        <w:t>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5. 火锅底料、麻辣烫底料及蘸料抽检项目包括二氧化硫残留量、副溶血性弧菌、可待因、吗啡、山梨酸及其钾盐(以山梨酸计)、沙门氏菌、罂粟碱、脱氢乙酸及其钠盐(以脱氢乙酸计)、苏丹红I、苏丹红II、苏丹红III、苏丹红IV、苯甲酸及其钠盐(以苯甲酸计)、蒂巴因、那可丁、金黄色葡萄球菌等</w:t>
      </w:r>
      <w:r>
        <w:rPr>
          <w:rFonts w:hint="eastAsia" w:ascii="仿宋" w:hAnsi="仿宋" w:eastAsia="仿宋" w:cs="仿宋"/>
          <w:sz w:val="32"/>
          <w:szCs w:val="32"/>
        </w:rPr>
        <w:t>16</w:t>
      </w:r>
      <w:r>
        <w:rPr>
          <w:rFonts w:ascii="仿宋" w:hAnsi="仿宋" w:eastAsia="仿宋" w:cs="仿宋"/>
          <w:sz w:val="32"/>
          <w:szCs w:val="32"/>
        </w:rPr>
        <w:t>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6. 火锅调味料(底料、蘸料)(自制)抽检项目包括可待因、吗啡、罂粟碱、蒂巴因、那可丁等5个指标。</w:t>
      </w:r>
    </w:p>
    <w:p>
      <w:pPr>
        <w:widowControl w:val="0"/>
        <w:wordWrap/>
        <w:adjustRightInd/>
        <w:snapToGrid/>
        <w:spacing w:line="560" w:lineRule="exact"/>
        <w:ind w:left="0" w:leftChars="0" w:right="0" w:firstLine="652" w:firstLineChars="203"/>
        <w:jc w:val="left"/>
        <w:outlineLvl w:val="9"/>
        <w:rPr>
          <w:rFonts w:ascii="Verdana" w:hAnsi="Times New Roman" w:eastAsia="宋体" w:cs="Times New Roman"/>
          <w:b/>
          <w:sz w:val="32"/>
          <w:szCs w:val="32"/>
        </w:rPr>
      </w:pPr>
      <w:r>
        <w:rPr>
          <w:rFonts w:hint="eastAsia" w:ascii="Verdana" w:hAnsi="Times New Roman" w:eastAsia="宋体" w:cs="Times New Roman"/>
          <w:b/>
          <w:sz w:val="32"/>
          <w:szCs w:val="32"/>
        </w:rPr>
        <w:t>二、羊肉及副产品</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抽检依据是农业部公告第235号《动物性食品中兽药最高残留限量》、农业部公告第2292号《发布在食品动物中停止使用洛美沙星、培氟沙星、氧氟沙星、诺氟沙星4 种兽药的决定》、农业部公告第560号《兽药地方标准废止目录》、整顿办函[2010]50号《食品中可能违法添加的非食用物质和易滥用的食品添加剂品种名单(第四批)》</w:t>
      </w:r>
      <w:r>
        <w:rPr>
          <w:rFonts w:hint="eastAsia" w:ascii="仿宋" w:hAnsi="仿宋" w:eastAsia="仿宋" w:cs="仿宋"/>
          <w:sz w:val="32"/>
          <w:szCs w:val="32"/>
        </w:rPr>
        <w:t>、</w:t>
      </w:r>
      <w:r>
        <w:rPr>
          <w:rFonts w:ascii="仿宋" w:hAnsi="仿宋" w:eastAsia="仿宋" w:cs="仿宋"/>
          <w:sz w:val="32"/>
          <w:szCs w:val="32"/>
        </w:rPr>
        <w:t>《食品安全国家</w:t>
      </w:r>
      <w:r>
        <w:rPr>
          <w:rFonts w:hint="eastAsia" w:ascii="仿宋" w:hAnsi="仿宋" w:eastAsia="仿宋" w:cs="仿宋"/>
          <w:sz w:val="32"/>
          <w:szCs w:val="32"/>
          <w:lang w:eastAsia="zh-CN"/>
        </w:rPr>
        <w:t>标准</w:t>
      </w:r>
      <w:r>
        <w:rPr>
          <w:rFonts w:ascii="仿宋" w:hAnsi="仿宋" w:eastAsia="仿宋" w:cs="仿宋"/>
          <w:sz w:val="32"/>
          <w:szCs w:val="32"/>
        </w:rPr>
        <w:t>食品中污染物限量》</w:t>
      </w:r>
      <w:r>
        <w:rPr>
          <w:rFonts w:hint="eastAsia" w:ascii="仿宋" w:hAnsi="仿宋" w:eastAsia="仿宋" w:cs="仿宋"/>
          <w:sz w:val="32"/>
          <w:szCs w:val="32"/>
        </w:rPr>
        <w:t>（</w:t>
      </w:r>
      <w:r>
        <w:rPr>
          <w:rFonts w:ascii="仿宋" w:hAnsi="仿宋" w:eastAsia="仿宋" w:cs="仿宋"/>
          <w:sz w:val="32"/>
          <w:szCs w:val="32"/>
        </w:rPr>
        <w:t>GB 2762-2017</w:t>
      </w:r>
      <w:r>
        <w:rPr>
          <w:rFonts w:hint="eastAsia" w:ascii="仿宋" w:hAnsi="仿宋" w:eastAsia="仿宋" w:cs="仿宋"/>
          <w:sz w:val="32"/>
          <w:szCs w:val="32"/>
        </w:rPr>
        <w:t>）</w:t>
      </w:r>
      <w:r>
        <w:rPr>
          <w:rFonts w:ascii="仿宋" w:hAnsi="仿宋" w:eastAsia="仿宋" w:cs="仿宋"/>
          <w:sz w:val="32"/>
          <w:szCs w:val="32"/>
        </w:rPr>
        <w:t>等标准及产品明示标准和指标的要求。</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1. 羊副产品(羊肝、羊肾等)抽检项目包括克伦特罗、总汞(以Hg计)、总砷(以As计)、恩诺沙星(以恩诺沙星与环丙沙星之和计)、氯霉素、沙丁胺醇、磺胺类(总量)、莱克多巴胺、达氟沙星、铅(以Pb计)、铬(以Cr计)、镉(以Cd计)等12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2. 羊肉抽检项目包括克伦特罗、呋喃唑酮代谢物、呋喃妥因代谢物、呋喃它酮代谢物、呋喃西林代谢物、土霉素、培氟沙星、总汞(以Hg计)、总砷(以As计)、恩诺沙星(以恩诺沙星与环丙沙星之和计)、氟甲喹、氟苯尼考、氧氟沙星、氯霉素、沙丁胺醇、洛美沙星、特布他林、磺胺类(总量)、莱克多巴胺、诺氟沙星、达氟沙星、铅(以Pb计)、铬(以Cr计)、镉(以Cd计)等24个指标。</w:t>
      </w:r>
    </w:p>
    <w:p>
      <w:pPr>
        <w:widowControl w:val="0"/>
        <w:wordWrap/>
        <w:adjustRightInd/>
        <w:snapToGrid/>
        <w:spacing w:line="560" w:lineRule="exact"/>
        <w:ind w:left="0" w:leftChars="0" w:right="0" w:firstLine="652" w:firstLineChars="203"/>
        <w:jc w:val="left"/>
        <w:outlineLvl w:val="9"/>
      </w:pPr>
      <w:r>
        <w:rPr>
          <w:rFonts w:hint="eastAsia" w:ascii="Verdana" w:hAnsi="Times New Roman" w:eastAsia="宋体" w:cs="Times New Roman"/>
          <w:b/>
          <w:sz w:val="32"/>
          <w:szCs w:val="32"/>
        </w:rPr>
        <w:t>三、薯类和膨化食品</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抽检依据是《食品安全国家</w:t>
      </w:r>
      <w:r>
        <w:rPr>
          <w:rFonts w:hint="eastAsia" w:ascii="仿宋" w:hAnsi="仿宋" w:eastAsia="仿宋" w:cs="仿宋"/>
          <w:sz w:val="32"/>
          <w:szCs w:val="32"/>
          <w:lang w:eastAsia="zh-CN"/>
        </w:rPr>
        <w:t>标准</w:t>
      </w:r>
      <w:r>
        <w:rPr>
          <w:rFonts w:ascii="仿宋" w:hAnsi="仿宋" w:eastAsia="仿宋" w:cs="仿宋"/>
          <w:sz w:val="32"/>
          <w:szCs w:val="32"/>
        </w:rPr>
        <w:t>食品中污染物限量》</w:t>
      </w:r>
      <w:r>
        <w:rPr>
          <w:rFonts w:hint="eastAsia" w:ascii="仿宋" w:hAnsi="仿宋" w:eastAsia="仿宋" w:cs="仿宋"/>
          <w:sz w:val="32"/>
          <w:szCs w:val="32"/>
        </w:rPr>
        <w:t>（</w:t>
      </w:r>
      <w:r>
        <w:rPr>
          <w:rFonts w:ascii="仿宋" w:hAnsi="仿宋" w:eastAsia="仿宋" w:cs="仿宋"/>
          <w:sz w:val="32"/>
          <w:szCs w:val="32"/>
        </w:rPr>
        <w:t>GB 2762-2017</w:t>
      </w:r>
      <w:r>
        <w:rPr>
          <w:rFonts w:hint="eastAsia" w:ascii="仿宋" w:hAnsi="仿宋" w:eastAsia="仿宋" w:cs="仿宋"/>
          <w:sz w:val="32"/>
          <w:szCs w:val="32"/>
        </w:rPr>
        <w:t>）</w:t>
      </w:r>
      <w:r>
        <w:rPr>
          <w:rFonts w:ascii="仿宋" w:hAnsi="仿宋" w:eastAsia="仿宋" w:cs="仿宋"/>
          <w:sz w:val="32"/>
          <w:szCs w:val="32"/>
        </w:rPr>
        <w:t>、《食品安全国家</w:t>
      </w:r>
      <w:r>
        <w:rPr>
          <w:rFonts w:hint="eastAsia" w:ascii="仿宋" w:hAnsi="仿宋" w:eastAsia="仿宋" w:cs="仿宋"/>
          <w:sz w:val="32"/>
          <w:szCs w:val="32"/>
          <w:lang w:eastAsia="zh-CN"/>
        </w:rPr>
        <w:t>标准</w:t>
      </w:r>
      <w:r>
        <w:rPr>
          <w:rFonts w:ascii="仿宋" w:hAnsi="仿宋" w:eastAsia="仿宋" w:cs="仿宋"/>
          <w:sz w:val="32"/>
          <w:szCs w:val="32"/>
        </w:rPr>
        <w:t>食品添加剂使用标准》</w:t>
      </w:r>
      <w:r>
        <w:rPr>
          <w:rFonts w:hint="eastAsia" w:ascii="仿宋" w:hAnsi="仿宋" w:eastAsia="仿宋" w:cs="仿宋"/>
          <w:sz w:val="32"/>
          <w:szCs w:val="32"/>
        </w:rPr>
        <w:t>（</w:t>
      </w:r>
      <w:r>
        <w:rPr>
          <w:rFonts w:ascii="仿宋" w:hAnsi="仿宋" w:eastAsia="仿宋" w:cs="仿宋"/>
          <w:sz w:val="32"/>
          <w:szCs w:val="32"/>
        </w:rPr>
        <w:t>GB 2760-2014</w:t>
      </w:r>
      <w:r>
        <w:rPr>
          <w:rFonts w:hint="eastAsia" w:ascii="仿宋" w:hAnsi="仿宋" w:eastAsia="仿宋" w:cs="仿宋"/>
          <w:sz w:val="32"/>
          <w:szCs w:val="32"/>
        </w:rPr>
        <w:t>）</w:t>
      </w:r>
      <w:r>
        <w:rPr>
          <w:rFonts w:ascii="仿宋" w:hAnsi="仿宋" w:eastAsia="仿宋" w:cs="仿宋"/>
          <w:sz w:val="32"/>
          <w:szCs w:val="32"/>
        </w:rPr>
        <w:t>、《食品安全国家</w:t>
      </w:r>
      <w:r>
        <w:rPr>
          <w:rFonts w:hint="eastAsia" w:ascii="仿宋" w:hAnsi="仿宋" w:eastAsia="仿宋" w:cs="仿宋"/>
          <w:sz w:val="32"/>
          <w:szCs w:val="32"/>
          <w:lang w:eastAsia="zh-CN"/>
        </w:rPr>
        <w:t>标准</w:t>
      </w:r>
      <w:r>
        <w:rPr>
          <w:rFonts w:ascii="仿宋" w:hAnsi="仿宋" w:eastAsia="仿宋" w:cs="仿宋"/>
          <w:sz w:val="32"/>
          <w:szCs w:val="32"/>
        </w:rPr>
        <w:t>食品中真菌毒素限量》</w:t>
      </w:r>
      <w:r>
        <w:rPr>
          <w:rFonts w:hint="eastAsia" w:ascii="仿宋" w:hAnsi="仿宋" w:eastAsia="仿宋" w:cs="仿宋"/>
          <w:sz w:val="32"/>
          <w:szCs w:val="32"/>
        </w:rPr>
        <w:t>（</w:t>
      </w:r>
      <w:r>
        <w:rPr>
          <w:rFonts w:ascii="仿宋" w:hAnsi="仿宋" w:eastAsia="仿宋" w:cs="仿宋"/>
          <w:sz w:val="32"/>
          <w:szCs w:val="32"/>
        </w:rPr>
        <w:t>GB 2761-2017</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lang w:eastAsia="zh-CN"/>
        </w:rPr>
        <w:t>食品安全国家标准食品中致病菌限量</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GB 29921-2013</w:t>
      </w:r>
      <w:r>
        <w:rPr>
          <w:rFonts w:hint="eastAsia" w:ascii="仿宋" w:hAnsi="仿宋" w:eastAsia="仿宋" w:cs="仿宋"/>
          <w:sz w:val="32"/>
          <w:szCs w:val="32"/>
        </w:rPr>
        <w:t>）</w:t>
      </w:r>
      <w:r>
        <w:rPr>
          <w:rFonts w:ascii="仿宋" w:hAnsi="仿宋" w:eastAsia="仿宋" w:cs="仿宋"/>
          <w:sz w:val="32"/>
          <w:szCs w:val="32"/>
        </w:rPr>
        <w:t>、《食品安全国家</w:t>
      </w:r>
      <w:r>
        <w:rPr>
          <w:rFonts w:hint="eastAsia" w:ascii="仿宋" w:hAnsi="仿宋" w:eastAsia="仿宋" w:cs="仿宋"/>
          <w:sz w:val="32"/>
          <w:szCs w:val="32"/>
          <w:lang w:eastAsia="zh-CN"/>
        </w:rPr>
        <w:t>标准</w:t>
      </w:r>
      <w:r>
        <w:rPr>
          <w:rFonts w:ascii="仿宋" w:hAnsi="仿宋" w:eastAsia="仿宋" w:cs="仿宋"/>
          <w:sz w:val="32"/>
          <w:szCs w:val="32"/>
        </w:rPr>
        <w:t>膨化食品》</w:t>
      </w:r>
      <w:r>
        <w:rPr>
          <w:rFonts w:hint="eastAsia" w:ascii="仿宋" w:hAnsi="仿宋" w:eastAsia="仿宋" w:cs="仿宋"/>
          <w:sz w:val="32"/>
          <w:szCs w:val="32"/>
        </w:rPr>
        <w:t>（</w:t>
      </w:r>
      <w:r>
        <w:rPr>
          <w:rFonts w:ascii="仿宋" w:hAnsi="仿宋" w:eastAsia="仿宋" w:cs="仿宋"/>
          <w:sz w:val="32"/>
          <w:szCs w:val="32"/>
        </w:rPr>
        <w:t>GB 17401-2014</w:t>
      </w:r>
      <w:r>
        <w:rPr>
          <w:rFonts w:hint="eastAsia" w:ascii="仿宋" w:hAnsi="仿宋" w:eastAsia="仿宋" w:cs="仿宋"/>
          <w:sz w:val="32"/>
          <w:szCs w:val="32"/>
        </w:rPr>
        <w:t>）</w:t>
      </w:r>
      <w:r>
        <w:rPr>
          <w:rFonts w:ascii="仿宋" w:hAnsi="仿宋" w:eastAsia="仿宋" w:cs="仿宋"/>
          <w:sz w:val="32"/>
          <w:szCs w:val="32"/>
        </w:rPr>
        <w:t>、2019年版市场监管总局食品安全风险监测参考值、《马铃薯片》</w:t>
      </w:r>
      <w:r>
        <w:rPr>
          <w:rFonts w:hint="eastAsia" w:ascii="仿宋" w:hAnsi="仿宋" w:eastAsia="仿宋" w:cs="仿宋"/>
          <w:sz w:val="32"/>
          <w:szCs w:val="32"/>
        </w:rPr>
        <w:t>（</w:t>
      </w:r>
      <w:r>
        <w:rPr>
          <w:rFonts w:ascii="仿宋" w:hAnsi="仿宋" w:eastAsia="仿宋" w:cs="仿宋"/>
          <w:sz w:val="32"/>
          <w:szCs w:val="32"/>
        </w:rPr>
        <w:t>QB/T 2686-2005</w:t>
      </w:r>
      <w:r>
        <w:rPr>
          <w:rFonts w:hint="eastAsia" w:ascii="仿宋" w:hAnsi="仿宋" w:eastAsia="仿宋" w:cs="仿宋"/>
          <w:sz w:val="32"/>
          <w:szCs w:val="32"/>
        </w:rPr>
        <w:t>）</w:t>
      </w:r>
      <w:r>
        <w:rPr>
          <w:rFonts w:ascii="仿宋" w:hAnsi="仿宋" w:eastAsia="仿宋" w:cs="仿宋"/>
          <w:sz w:val="32"/>
          <w:szCs w:val="32"/>
        </w:rPr>
        <w:t>等标准及产品明示标准和指标的要求。</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1. 干制薯类(马铃薯片)抽检项目包括过氧化值(以脂肪计)、酸价(以脂肪计)、铅(以Pb计)、铝的残留量(干样品,以Al计)等4个指标。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2. 含油型膨化食品和非含油型膨化食品抽检项目包括大肠菌群、山梨酸及其钾盐(以山梨酸计)、水分、沙门氏菌、糖精钠(以糖精计)、脱氧雪腐镰刀菌烯醇、苯甲酸及其钠盐(以苯甲酸计)、过氧化值(以脂肪计)、酸价(以脂肪计)、金黄色葡萄球菌、铅(以Pb计)、铝的残留量(干样品,以Al计)、黄曲霉毒素B</w:t>
      </w:r>
      <w:r>
        <w:rPr>
          <w:rFonts w:hint="eastAsia" w:ascii="仿宋" w:hAnsi="仿宋" w:eastAsia="仿宋" w:cs="仿宋"/>
          <w:sz w:val="32"/>
          <w:szCs w:val="32"/>
          <w:vertAlign w:val="subscript"/>
        </w:rPr>
        <w:t>1</w:t>
      </w:r>
      <w:r>
        <w:rPr>
          <w:rFonts w:ascii="仿宋" w:hAnsi="仿宋" w:eastAsia="仿宋" w:cs="仿宋"/>
          <w:sz w:val="32"/>
          <w:szCs w:val="32"/>
        </w:rPr>
        <w:t>等1</w:t>
      </w:r>
      <w:r>
        <w:rPr>
          <w:rFonts w:hint="eastAsia" w:ascii="仿宋" w:hAnsi="仿宋" w:eastAsia="仿宋" w:cs="仿宋"/>
          <w:sz w:val="32"/>
          <w:szCs w:val="32"/>
        </w:rPr>
        <w:t>3</w:t>
      </w:r>
      <w:r>
        <w:rPr>
          <w:rFonts w:ascii="仿宋" w:hAnsi="仿宋" w:eastAsia="仿宋" w:cs="仿宋"/>
          <w:sz w:val="32"/>
          <w:szCs w:val="32"/>
        </w:rPr>
        <w:t>个指标。</w:t>
      </w:r>
    </w:p>
    <w:p>
      <w:pPr>
        <w:widowControl w:val="0"/>
        <w:wordWrap/>
        <w:adjustRightInd/>
        <w:snapToGrid/>
        <w:spacing w:line="560" w:lineRule="exact"/>
        <w:ind w:left="0" w:leftChars="0" w:right="0" w:firstLine="643" w:firstLineChars="200"/>
        <w:outlineLvl w:val="9"/>
        <w:rPr>
          <w:rFonts w:ascii="Verdana" w:hAnsi="Times New Roman" w:eastAsia="宋体" w:cs="Times New Roman"/>
          <w:b/>
          <w:sz w:val="32"/>
          <w:szCs w:val="32"/>
        </w:rPr>
      </w:pPr>
      <w:r>
        <w:rPr>
          <w:rFonts w:hint="eastAsia" w:ascii="Verdana" w:hAnsi="Times New Roman" w:eastAsia="宋体" w:cs="Times New Roman"/>
          <w:b/>
          <w:sz w:val="32"/>
          <w:szCs w:val="32"/>
        </w:rPr>
        <w:t>四、水产品</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抽检依据是农业部公告第2292号《发布在食品动物中停止使用洛美沙星、培氟沙星、氧氟沙星、诺氟沙星4种兽药的决定》、农业部公告第560号《兽药地方标准废止目录》、农业部公告第235号《动物性食品中兽药最高残留限量》、《食品安全国家</w:t>
      </w:r>
      <w:r>
        <w:rPr>
          <w:rFonts w:hint="eastAsia" w:ascii="仿宋" w:hAnsi="仿宋" w:eastAsia="仿宋" w:cs="仿宋"/>
          <w:sz w:val="32"/>
          <w:szCs w:val="32"/>
          <w:lang w:eastAsia="zh-CN"/>
        </w:rPr>
        <w:t>标准</w:t>
      </w:r>
      <w:r>
        <w:rPr>
          <w:rFonts w:ascii="仿宋" w:hAnsi="仿宋" w:eastAsia="仿宋" w:cs="仿宋"/>
          <w:sz w:val="32"/>
          <w:szCs w:val="32"/>
        </w:rPr>
        <w:t>食品中污染物限量》</w:t>
      </w:r>
      <w:r>
        <w:rPr>
          <w:rFonts w:hint="eastAsia" w:ascii="仿宋" w:hAnsi="仿宋" w:eastAsia="仿宋" w:cs="仿宋"/>
          <w:sz w:val="32"/>
          <w:szCs w:val="32"/>
        </w:rPr>
        <w:t>（</w:t>
      </w:r>
      <w:r>
        <w:rPr>
          <w:rFonts w:ascii="仿宋" w:hAnsi="仿宋" w:eastAsia="仿宋" w:cs="仿宋"/>
          <w:sz w:val="32"/>
          <w:szCs w:val="32"/>
        </w:rPr>
        <w:t>GB 2762-2017</w:t>
      </w:r>
      <w:r>
        <w:rPr>
          <w:rFonts w:hint="eastAsia" w:ascii="仿宋" w:hAnsi="仿宋" w:eastAsia="仿宋" w:cs="仿宋"/>
          <w:sz w:val="32"/>
          <w:szCs w:val="32"/>
        </w:rPr>
        <w:t>）</w:t>
      </w:r>
      <w:r>
        <w:rPr>
          <w:rFonts w:ascii="仿宋" w:hAnsi="仿宋" w:eastAsia="仿宋" w:cs="仿宋"/>
          <w:sz w:val="32"/>
          <w:szCs w:val="32"/>
        </w:rPr>
        <w:t>、</w:t>
      </w:r>
      <w:r>
        <w:rPr>
          <w:rFonts w:hint="eastAsia" w:ascii="仿宋" w:hAnsi="仿宋" w:eastAsia="仿宋" w:cs="仿宋"/>
          <w:sz w:val="32"/>
          <w:szCs w:val="32"/>
        </w:rPr>
        <w:t>《食品安全国家</w:t>
      </w:r>
      <w:r>
        <w:rPr>
          <w:rFonts w:hint="eastAsia" w:ascii="仿宋" w:hAnsi="仿宋" w:eastAsia="仿宋" w:cs="仿宋"/>
          <w:sz w:val="32"/>
          <w:szCs w:val="32"/>
          <w:lang w:eastAsia="zh-CN"/>
        </w:rPr>
        <w:t>标准</w:t>
      </w:r>
      <w:r>
        <w:rPr>
          <w:rFonts w:hint="eastAsia" w:ascii="仿宋" w:hAnsi="仿宋" w:eastAsia="仿宋" w:cs="仿宋"/>
          <w:sz w:val="32"/>
          <w:szCs w:val="32"/>
        </w:rPr>
        <w:t>鲜、冻动物性水产品》（</w:t>
      </w:r>
      <w:r>
        <w:rPr>
          <w:rFonts w:ascii="仿宋" w:hAnsi="仿宋" w:eastAsia="仿宋" w:cs="仿宋"/>
          <w:sz w:val="32"/>
          <w:szCs w:val="32"/>
        </w:rPr>
        <w:t>GB 2733-2015</w:t>
      </w:r>
      <w:r>
        <w:rPr>
          <w:rFonts w:hint="eastAsia" w:ascii="仿宋" w:hAnsi="仿宋" w:eastAsia="仿宋" w:cs="仿宋"/>
          <w:sz w:val="32"/>
          <w:szCs w:val="32"/>
        </w:rPr>
        <w:t>）</w:t>
      </w:r>
      <w:r>
        <w:rPr>
          <w:rFonts w:ascii="仿宋" w:hAnsi="仿宋" w:eastAsia="仿宋" w:cs="仿宋"/>
          <w:sz w:val="32"/>
          <w:szCs w:val="32"/>
        </w:rPr>
        <w:t>等标准及产品明示标准和指标的要求。</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1. 海水鱼抽检项目包括五氯酚酸钠(以五氯酚计)、呋喃唑酮代谢物、呋喃妥因代谢物、呋喃它酮代谢物、呋喃西林代谢物、土霉素、培氟沙星、孔雀石绿、己烯雌酚、恩诺沙星(以恩诺沙星与环丙沙星之和计)、氟苯尼考、氧氟沙星、氯霉素、洛美沙星、组胺、诺氟沙星、铅(以Pb计)、铬(以Cr计)、镉(以Cd计)等19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2. 海水蟹抽检项目包括呋喃唑酮代谢物、呋喃妥因代谢物、呋喃它酮代谢物、呋喃西林代谢物、土霉素、孔雀石绿、恩诺沙星(以恩诺沙星与环丙沙星之和计)、氯霉素、铅(以Pb计)、铬(以Cr计)、镉(以Cd计)等11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3. 淡水鱼抽检项目包括五氯酚酸钠(以五氯酚计)、呋喃唑酮代谢物、呋喃妥因代谢物、呋喃它酮代谢物、呋喃西林代谢物、土霉素、地西泮、培氟沙星、孔雀石绿、己烯雌酚、恩诺沙星(以恩诺沙星与环丙沙星之和计)、氟苯尼考、氧氟沙星、氯霉素、洛美沙星、诺氟沙星、铅(以Pb计)、铬(以Cr计)、镉(以Cd计)等19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4. 淡水虾抽检项目包括五氯酚酸钠(以五氯酚计)、呋喃唑酮代谢物、呋喃妥因代谢物、呋喃它酮代谢物、呋喃西林代谢物、四环素、土霉素、培氟沙星、孔雀石绿、己烯雌酚、恩诺沙星(以恩诺沙星与环丙沙星之和计)、氟苯尼考、氧氟沙星、氯霉素、洛美沙星、诺氟沙星、金霉素、铅(以Pb计)、铬(以Cr计)、镉(以Cd计)等20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5. 海水虾抽检项目包括五氯酚酸钠(以五氯酚计)、呋喃唑酮代谢物、呋喃妥因代谢物、呋喃它酮代谢物、呋喃西林代谢物、四环素、土霉素、培氟沙星、孔雀石绿、己烯雌酚、恩诺沙星(以恩诺沙星与环丙沙星之和计)、氟苯尼考、氧氟沙星、氯霉素、洛美沙星、诺氟沙星、金霉素、铅(以Pb计)、铬(以Cr计)、镉(以Cd计)、雌二醇等21个指标。</w:t>
      </w:r>
    </w:p>
    <w:p>
      <w:pPr>
        <w:widowControl w:val="0"/>
        <w:wordWrap/>
        <w:adjustRightInd/>
        <w:snapToGrid/>
        <w:spacing w:line="560" w:lineRule="exact"/>
        <w:ind w:left="0" w:leftChars="0" w:right="0" w:firstLine="643" w:firstLineChars="200"/>
        <w:outlineLvl w:val="9"/>
        <w:rPr>
          <w:rFonts w:ascii="Verdana" w:hAnsi="Times New Roman" w:eastAsia="宋体" w:cs="Times New Roman"/>
          <w:b/>
          <w:sz w:val="32"/>
          <w:szCs w:val="32"/>
        </w:rPr>
      </w:pPr>
      <w:r>
        <w:rPr>
          <w:rFonts w:hint="eastAsia" w:ascii="Verdana" w:hAnsi="Times New Roman" w:eastAsia="宋体" w:cs="Times New Roman"/>
          <w:b/>
          <w:sz w:val="32"/>
          <w:szCs w:val="32"/>
        </w:rPr>
        <w:t>五、水果</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抽检依据是《食品安全国家</w:t>
      </w:r>
      <w:r>
        <w:rPr>
          <w:rFonts w:hint="eastAsia" w:ascii="仿宋" w:hAnsi="仿宋" w:eastAsia="仿宋" w:cs="仿宋"/>
          <w:sz w:val="32"/>
          <w:szCs w:val="32"/>
          <w:lang w:eastAsia="zh-CN"/>
        </w:rPr>
        <w:t>标准</w:t>
      </w:r>
      <w:r>
        <w:rPr>
          <w:rFonts w:ascii="仿宋" w:hAnsi="仿宋" w:eastAsia="仿宋" w:cs="仿宋"/>
          <w:sz w:val="32"/>
          <w:szCs w:val="32"/>
        </w:rPr>
        <w:t>食品中农药最大残留限量》</w:t>
      </w:r>
      <w:r>
        <w:rPr>
          <w:rFonts w:hint="eastAsia" w:ascii="仿宋" w:hAnsi="仿宋" w:eastAsia="仿宋" w:cs="仿宋"/>
          <w:sz w:val="32"/>
          <w:szCs w:val="32"/>
        </w:rPr>
        <w:t>（</w:t>
      </w:r>
      <w:r>
        <w:rPr>
          <w:rFonts w:ascii="仿宋" w:hAnsi="仿宋" w:eastAsia="仿宋" w:cs="仿宋"/>
          <w:sz w:val="32"/>
          <w:szCs w:val="32"/>
        </w:rPr>
        <w:t>GB 2763-2016</w:t>
      </w:r>
      <w:r>
        <w:rPr>
          <w:rFonts w:hint="eastAsia" w:ascii="仿宋" w:hAnsi="仿宋" w:eastAsia="仿宋" w:cs="仿宋"/>
          <w:sz w:val="32"/>
          <w:szCs w:val="32"/>
        </w:rPr>
        <w:t>）</w:t>
      </w:r>
      <w:r>
        <w:rPr>
          <w:rFonts w:ascii="仿宋" w:hAnsi="仿宋" w:eastAsia="仿宋" w:cs="仿宋"/>
          <w:sz w:val="32"/>
          <w:szCs w:val="32"/>
        </w:rPr>
        <w:t>等标准及产品明示标准和指标的要求。</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1. 柑、橘(柑橘类水果)抽检项目包括三唑磷、丙溴磷、克百威、氧乐果、联苯菊酯、苯醚甲环唑等6个指标。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2. 苹果(仁果类水果)抽检项目包括克百威、吡虫啉、多菌灵、敌敌畏、氟虫腈、氧乐果、氯氰菊酯和高效氯氰菊酯、氰戊菊酯和S-氰戊菊酯、苯醚甲环唑等9个指标。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3. 橙(柑橘类水果)抽检项目包括三唑磷、丙溴磷、克百威等3个指标。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4. 香蕉(热带和亚热带水果)抽检项目包括吡唑醚菌酯、百菌清、腈苯唑等3个指标。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5. 猕猴桃(浆果和其他小型水果)抽检项目包括对硫磷、氯唑磷、水胺硫磷、甲基异柳磷、甲拌磷等5个指标。</w:t>
      </w:r>
    </w:p>
    <w:p>
      <w:pPr>
        <w:widowControl w:val="0"/>
        <w:wordWrap/>
        <w:adjustRightInd/>
        <w:snapToGrid/>
        <w:spacing w:line="560" w:lineRule="exact"/>
        <w:ind w:left="0" w:leftChars="0" w:right="0" w:firstLine="643" w:firstLineChars="200"/>
        <w:outlineLvl w:val="9"/>
        <w:rPr>
          <w:rFonts w:ascii="Verdana" w:hAnsi="Times New Roman" w:eastAsia="宋体" w:cs="Times New Roman"/>
          <w:b/>
          <w:sz w:val="32"/>
          <w:szCs w:val="32"/>
        </w:rPr>
      </w:pPr>
      <w:r>
        <w:rPr>
          <w:rFonts w:hint="eastAsia" w:ascii="Verdana" w:hAnsi="Times New Roman" w:eastAsia="宋体" w:cs="Times New Roman"/>
          <w:b/>
          <w:sz w:val="32"/>
          <w:szCs w:val="32"/>
        </w:rPr>
        <w:t>六、蔬菜</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抽检依据是《食品安全国家</w:t>
      </w:r>
      <w:r>
        <w:rPr>
          <w:rFonts w:hint="eastAsia" w:ascii="仿宋" w:hAnsi="仿宋" w:eastAsia="仿宋" w:cs="仿宋"/>
          <w:sz w:val="32"/>
          <w:szCs w:val="32"/>
          <w:lang w:eastAsia="zh-CN"/>
        </w:rPr>
        <w:t>标准</w:t>
      </w:r>
      <w:r>
        <w:rPr>
          <w:rFonts w:ascii="仿宋" w:hAnsi="仿宋" w:eastAsia="仿宋" w:cs="仿宋"/>
          <w:sz w:val="32"/>
          <w:szCs w:val="32"/>
        </w:rPr>
        <w:t>食品中农药最大残留限量》</w:t>
      </w:r>
      <w:r>
        <w:rPr>
          <w:rFonts w:hint="eastAsia" w:ascii="仿宋" w:hAnsi="仿宋" w:eastAsia="仿宋" w:cs="仿宋"/>
          <w:sz w:val="32"/>
          <w:szCs w:val="32"/>
        </w:rPr>
        <w:t>（</w:t>
      </w:r>
      <w:r>
        <w:rPr>
          <w:rFonts w:ascii="仿宋" w:hAnsi="仿宋" w:eastAsia="仿宋" w:cs="仿宋"/>
          <w:sz w:val="32"/>
          <w:szCs w:val="32"/>
        </w:rPr>
        <w:t>GB 2763-2016</w:t>
      </w:r>
      <w:r>
        <w:rPr>
          <w:rFonts w:hint="eastAsia" w:ascii="仿宋" w:hAnsi="仿宋" w:eastAsia="仿宋" w:cs="仿宋"/>
          <w:sz w:val="32"/>
          <w:szCs w:val="32"/>
        </w:rPr>
        <w:t>），</w:t>
      </w:r>
      <w:r>
        <w:rPr>
          <w:rFonts w:ascii="仿宋" w:hAnsi="仿宋" w:eastAsia="仿宋" w:cs="仿宋"/>
          <w:sz w:val="32"/>
          <w:szCs w:val="32"/>
        </w:rPr>
        <w:t>《豆芽卫生标准》</w:t>
      </w:r>
      <w:r>
        <w:rPr>
          <w:rFonts w:hint="eastAsia" w:ascii="仿宋" w:hAnsi="仿宋" w:eastAsia="仿宋" w:cs="仿宋"/>
          <w:sz w:val="32"/>
          <w:szCs w:val="32"/>
        </w:rPr>
        <w:t>（</w:t>
      </w:r>
      <w:r>
        <w:rPr>
          <w:rFonts w:ascii="仿宋" w:hAnsi="仿宋" w:eastAsia="仿宋" w:cs="仿宋"/>
          <w:sz w:val="32"/>
          <w:szCs w:val="32"/>
        </w:rPr>
        <w:t>GB 22556-2008</w:t>
      </w:r>
      <w:r>
        <w:rPr>
          <w:rFonts w:hint="eastAsia" w:ascii="仿宋" w:hAnsi="仿宋" w:eastAsia="仿宋" w:cs="仿宋"/>
          <w:sz w:val="32"/>
          <w:szCs w:val="32"/>
        </w:rPr>
        <w:t>），</w:t>
      </w:r>
      <w:r>
        <w:rPr>
          <w:rFonts w:ascii="仿宋" w:hAnsi="仿宋" w:eastAsia="仿宋" w:cs="仿宋"/>
          <w:sz w:val="32"/>
          <w:szCs w:val="32"/>
        </w:rPr>
        <w:t>国家食品药品监督管理总局、农业部、国家卫生和计划生育委员会《关于豆芽生产过程中禁止使用6-苄基腺嘌呤等物质的公告》</w:t>
      </w:r>
      <w:r>
        <w:rPr>
          <w:rFonts w:hint="eastAsia" w:ascii="仿宋" w:hAnsi="仿宋" w:eastAsia="仿宋" w:cs="仿宋"/>
          <w:sz w:val="32"/>
          <w:szCs w:val="32"/>
        </w:rPr>
        <w:t>（</w:t>
      </w:r>
      <w:r>
        <w:rPr>
          <w:rFonts w:ascii="仿宋" w:hAnsi="仿宋" w:eastAsia="仿宋" w:cs="仿宋"/>
          <w:sz w:val="32"/>
          <w:szCs w:val="32"/>
        </w:rPr>
        <w:t>2015年第11号</w:t>
      </w:r>
      <w:r>
        <w:rPr>
          <w:rFonts w:hint="eastAsia" w:ascii="仿宋" w:hAnsi="仿宋" w:eastAsia="仿宋" w:cs="仿宋"/>
          <w:sz w:val="32"/>
          <w:szCs w:val="32"/>
        </w:rPr>
        <w:t>）</w:t>
      </w:r>
      <w:r>
        <w:rPr>
          <w:rFonts w:ascii="仿宋" w:hAnsi="仿宋" w:eastAsia="仿宋" w:cs="仿宋"/>
          <w:sz w:val="32"/>
          <w:szCs w:val="32"/>
        </w:rPr>
        <w:t>等标准及产品明示标准和指标的要求。</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1. 芹菜(叶菜类蔬菜)抽检项目包括克百威、毒死蜱、氟虫腈、氧乐果、氯氟氰菊酯和高效氯氟氰菊酯、氯氰菊酯和高效氯氰菊酯、水胺硫磷、灭多威、灭线磷、甲拌磷、百菌清等11个指标。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2. 韭菜(鳞茎类蔬菜)抽检项目包括乐果、克百威、对硫磷、毒死蜱、氟虫腈、氧乐果、氯唑磷、氯氟氰菊酯和高效氯氟氰菊酯、水胺硫磷、灭多威、甲拌磷、腐霉利等12个指标。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3. 豇豆(豆类蔬菜)抽检项目包括克百威、敌百虫、氟虫腈、氧乐果、氯唑磷、氯氰菊酯和高效氯氰菊酯、水胺硫磷、灭多威、灭蝇胺、甲基异柳磷、甲拌磷、甲胺磷等12个指标。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4. 菠菜(叶菜类蔬菜)抽检项目包括克百威、毒死蜱、氟虫腈、氧乐果、氯氰菊酯和高效氯氰菊酯、水胺硫磷、灭多威、甲拌磷、阿维菌素等9个指标。</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5. 豆芽抽检项目包括4-氯苯氧乙酸钠(以4-氯苯氧乙酸计)、6-苄基腺嘌呤(6-BA)、亚硫酸盐(以SO</w:t>
      </w:r>
      <w:r>
        <w:rPr>
          <w:rFonts w:hint="eastAsia" w:ascii="仿宋" w:hAnsi="仿宋" w:eastAsia="仿宋" w:cs="仿宋"/>
          <w:sz w:val="32"/>
          <w:szCs w:val="32"/>
          <w:vertAlign w:val="subscript"/>
        </w:rPr>
        <w:t>2</w:t>
      </w:r>
      <w:r>
        <w:rPr>
          <w:rFonts w:ascii="仿宋" w:hAnsi="仿宋" w:eastAsia="仿宋" w:cs="仿宋"/>
          <w:sz w:val="32"/>
          <w:szCs w:val="32"/>
        </w:rPr>
        <w:t>计)、恩诺沙星(以恩诺沙星与环丙沙星之和计)、甲硝唑等5个指标。</w:t>
      </w:r>
    </w:p>
    <w:p>
      <w:pPr>
        <w:widowControl w:val="0"/>
        <w:wordWrap/>
        <w:adjustRightInd/>
        <w:snapToGrid/>
        <w:spacing w:line="560" w:lineRule="exact"/>
        <w:ind w:left="0" w:leftChars="0" w:right="0" w:firstLine="643" w:firstLineChars="200"/>
        <w:outlineLvl w:val="9"/>
        <w:rPr>
          <w:rFonts w:ascii="Verdana" w:hAnsi="Times New Roman" w:eastAsia="宋体" w:cs="Times New Roman"/>
          <w:b/>
          <w:sz w:val="32"/>
          <w:szCs w:val="32"/>
        </w:rPr>
      </w:pPr>
      <w:r>
        <w:rPr>
          <w:rFonts w:hint="eastAsia" w:ascii="Verdana" w:hAnsi="Times New Roman" w:eastAsia="宋体" w:cs="Times New Roman"/>
          <w:b/>
          <w:sz w:val="32"/>
          <w:szCs w:val="32"/>
        </w:rPr>
        <w:t>七、蛋及蛋制品</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抽检依据是农业部公告第235号《动物性食品中兽药最高残留限量》、农业部公告第2292号《发布在食品动物中停止使用洛美沙星、培氟沙星、氧氟沙星、诺氟沙星4 种兽药的决定》、《食品安全国家</w:t>
      </w:r>
      <w:r>
        <w:rPr>
          <w:rFonts w:hint="eastAsia" w:ascii="仿宋" w:hAnsi="仿宋" w:eastAsia="仿宋" w:cs="仿宋"/>
          <w:sz w:val="32"/>
          <w:szCs w:val="32"/>
          <w:lang w:eastAsia="zh-CN"/>
        </w:rPr>
        <w:t>标准</w:t>
      </w:r>
      <w:r>
        <w:rPr>
          <w:rFonts w:ascii="仿宋" w:hAnsi="仿宋" w:eastAsia="仿宋" w:cs="仿宋"/>
          <w:sz w:val="32"/>
          <w:szCs w:val="32"/>
        </w:rPr>
        <w:t>食品中百草枯等43种农药最大残留限量》</w:t>
      </w:r>
      <w:r>
        <w:rPr>
          <w:rFonts w:hint="eastAsia" w:ascii="仿宋" w:hAnsi="仿宋" w:eastAsia="仿宋" w:cs="仿宋"/>
          <w:sz w:val="32"/>
          <w:szCs w:val="32"/>
        </w:rPr>
        <w:t>（</w:t>
      </w:r>
      <w:r>
        <w:rPr>
          <w:rFonts w:ascii="仿宋" w:hAnsi="仿宋" w:eastAsia="仿宋" w:cs="仿宋"/>
          <w:sz w:val="32"/>
          <w:szCs w:val="32"/>
        </w:rPr>
        <w:t>GB 2763.1-2018</w:t>
      </w:r>
      <w:r>
        <w:rPr>
          <w:rFonts w:hint="eastAsia" w:ascii="仿宋" w:hAnsi="仿宋" w:eastAsia="仿宋" w:cs="仿宋"/>
          <w:sz w:val="32"/>
          <w:szCs w:val="32"/>
        </w:rPr>
        <w:t>）</w:t>
      </w:r>
      <w:r>
        <w:rPr>
          <w:rFonts w:ascii="仿宋" w:hAnsi="仿宋" w:eastAsia="仿宋" w:cs="仿宋"/>
          <w:sz w:val="32"/>
          <w:szCs w:val="32"/>
        </w:rPr>
        <w:t>、农业部公告第560号《兽药地方标准废止目录》等标准及产品明示标准和指标的要求。</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ascii="仿宋" w:hAnsi="仿宋" w:eastAsia="仿宋" w:cs="仿宋"/>
          <w:sz w:val="32"/>
          <w:szCs w:val="32"/>
        </w:rPr>
        <w:t>鸡蛋抽检项目包括呋喃唑酮代谢物、呋喃妥因代谢物、呋喃它酮代谢物、呋喃西林代谢物、四环素、土霉素、培氟沙星、多西环素(强力霉素)、恩诺沙星(以恩诺沙星与环丙沙星之和计)、氟苯尼考、氟虫腈(以氟虫腈、氟甲腈、氟虫腈砜和氟虫腈亚砜之和计)、氧氟沙星、氯霉素、诺氟沙星、金刚烷胺、金霉素等16个指标。</w:t>
      </w:r>
    </w:p>
    <w:p>
      <w:pPr>
        <w:widowControl w:val="0"/>
        <w:wordWrap/>
        <w:adjustRightInd/>
        <w:snapToGrid/>
        <w:spacing w:line="560" w:lineRule="exact"/>
        <w:ind w:left="0" w:leftChars="0" w:right="0" w:firstLine="643" w:firstLineChars="200"/>
        <w:outlineLvl w:val="9"/>
        <w:rPr>
          <w:rFonts w:ascii="Verdana" w:hAnsi="Times New Roman" w:eastAsia="宋体" w:cs="Times New Roman"/>
          <w:b/>
          <w:sz w:val="32"/>
          <w:szCs w:val="32"/>
        </w:rPr>
      </w:pPr>
      <w:r>
        <w:rPr>
          <w:rFonts w:hint="eastAsia" w:ascii="Verdana" w:hAnsi="Times New Roman" w:eastAsia="宋体" w:cs="Times New Roman"/>
          <w:b/>
          <w:sz w:val="32"/>
          <w:szCs w:val="32"/>
        </w:rPr>
        <w:t>八、瓶/桶装饮用水</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（一）抽检依据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hint="eastAsia" w:ascii="仿宋" w:hAnsi="仿宋" w:eastAsia="仿宋" w:cs="仿宋"/>
          <w:sz w:val="32"/>
          <w:szCs w:val="32"/>
        </w:rPr>
        <w:t>抽检依据是《饮用天然矿泉水》（GB 8537-2008）、</w:t>
      </w:r>
      <w:r>
        <w:rPr>
          <w:rFonts w:ascii="仿宋" w:hAnsi="仿宋" w:eastAsia="仿宋" w:cs="仿宋"/>
          <w:sz w:val="32"/>
          <w:szCs w:val="32"/>
        </w:rPr>
        <w:t>《食品安全国家</w:t>
      </w:r>
      <w:r>
        <w:rPr>
          <w:rFonts w:hint="eastAsia" w:ascii="仿宋" w:hAnsi="仿宋" w:eastAsia="仿宋" w:cs="仿宋"/>
          <w:sz w:val="32"/>
          <w:szCs w:val="32"/>
          <w:lang w:eastAsia="zh-CN"/>
        </w:rPr>
        <w:t>标准</w:t>
      </w:r>
      <w:r>
        <w:rPr>
          <w:rFonts w:ascii="仿宋" w:hAnsi="仿宋" w:eastAsia="仿宋" w:cs="仿宋"/>
          <w:sz w:val="32"/>
          <w:szCs w:val="32"/>
        </w:rPr>
        <w:t>食品中污染物限量》</w:t>
      </w:r>
      <w:r>
        <w:rPr>
          <w:rFonts w:hint="eastAsia" w:ascii="仿宋" w:hAnsi="仿宋" w:eastAsia="仿宋" w:cs="仿宋"/>
          <w:sz w:val="32"/>
          <w:szCs w:val="32"/>
        </w:rPr>
        <w:t>（</w:t>
      </w:r>
      <w:r>
        <w:rPr>
          <w:rFonts w:ascii="仿宋" w:hAnsi="仿宋" w:eastAsia="仿宋" w:cs="仿宋"/>
          <w:sz w:val="32"/>
          <w:szCs w:val="32"/>
        </w:rPr>
        <w:t>GB 2762-2017</w:t>
      </w:r>
      <w:r>
        <w:rPr>
          <w:rFonts w:hint="eastAsia" w:ascii="仿宋" w:hAnsi="仿宋" w:eastAsia="仿宋" w:cs="仿宋"/>
          <w:sz w:val="32"/>
          <w:szCs w:val="32"/>
        </w:rPr>
        <w:t>）等标准及产品明示标准和指标的要求。</w:t>
      </w:r>
    </w:p>
    <w:p>
      <w:pPr>
        <w:widowControl w:val="0"/>
        <w:wordWrap/>
        <w:adjustRightInd/>
        <w:snapToGrid/>
        <w:spacing w:line="560" w:lineRule="exact"/>
        <w:ind w:left="0" w:leftChars="0" w:right="0" w:firstLine="640" w:firstLineChars="200"/>
        <w:outlineLvl w:val="9"/>
        <w:rPr>
          <w:rFonts w:hint="eastAsia" w:ascii="楷体" w:hAnsi="楷体" w:eastAsia="楷体" w:cs="楷体"/>
          <w:sz w:val="32"/>
          <w:szCs w:val="32"/>
        </w:rPr>
      </w:pPr>
      <w:r>
        <w:rPr>
          <w:rFonts w:hint="eastAsia" w:ascii="楷体" w:hAnsi="楷体" w:eastAsia="楷体" w:cs="楷体"/>
          <w:sz w:val="32"/>
          <w:szCs w:val="32"/>
        </w:rPr>
        <w:t>（二）检验项目</w:t>
      </w:r>
    </w:p>
    <w:p>
      <w:pPr>
        <w:widowControl w:val="0"/>
        <w:wordWrap/>
        <w:adjustRightInd/>
        <w:snapToGrid/>
        <w:spacing w:line="560" w:lineRule="exact"/>
        <w:ind w:left="0" w:leftChars="0" w:right="0" w:firstLine="640" w:firstLineChars="200"/>
        <w:outlineLvl w:val="9"/>
        <w:rPr>
          <w:rFonts w:ascii="仿宋" w:hAnsi="仿宋" w:eastAsia="仿宋" w:cs="仿宋"/>
          <w:sz w:val="32"/>
          <w:szCs w:val="32"/>
        </w:rPr>
      </w:pPr>
      <w:r>
        <w:rPr>
          <w:rFonts w:hint="eastAsia" w:ascii="仿宋" w:hAnsi="仿宋" w:eastAsia="仿宋" w:cs="仿宋"/>
          <w:sz w:val="32"/>
          <w:szCs w:val="32"/>
        </w:rPr>
        <w:t>饮用天然矿泉水抽检项目包括亚硝酸盐、产气荚膜梭菌、偏硅酸、大肠菌群、溴酸盐、硝酸盐、粪链球菌、铜绿假单胞菌、镍等9个指标。</w:t>
      </w:r>
    </w:p>
    <w:sectPr>
      <w:headerReference r:id="rId4" w:type="default"/>
      <w:footerReference r:id="rId5" w:type="default"/>
      <w:pgSz w:w="11906" w:h="16838"/>
      <w:pgMar w:top="1440" w:right="1800" w:bottom="1440" w:left="1800"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黑体"/>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40007"/>
    <w:rsid w:val="00740007"/>
    <w:rsid w:val="00BA3437"/>
    <w:rsid w:val="0ABE3DDB"/>
    <w:rsid w:val="0BEA0231"/>
    <w:rsid w:val="18C57524"/>
    <w:rsid w:val="35171DDF"/>
    <w:rsid w:val="35C833EF"/>
    <w:rsid w:val="4B225B17"/>
    <w:rsid w:val="54C605FA"/>
    <w:rsid w:val="593B5A21"/>
    <w:rsid w:val="63DD3565"/>
    <w:rsid w:val="66B97195"/>
    <w:rsid w:val="67C809A2"/>
    <w:rsid w:val="6C3F62D9"/>
    <w:rsid w:val="6E9003AB"/>
    <w:rsid w:val="741B1EB8"/>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sz w:val="27"/>
      <w:szCs w:val="27"/>
    </w:rPr>
  </w:style>
  <w:style w:type="character" w:default="1" w:styleId="6">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customStyle="1" w:styleId="9">
    <w:name w:val="页眉 Char"/>
    <w:basedOn w:val="6"/>
    <w:link w:val="5"/>
    <w:uiPriority w:val="0"/>
    <w:rPr>
      <w:rFonts w:ascii="Calibri" w:hAnsi="Calibri" w:eastAsia="宋体" w:cs="黑体"/>
      <w:sz w:val="18"/>
      <w:szCs w:val="18"/>
    </w:rPr>
  </w:style>
  <w:style w:type="character" w:customStyle="1" w:styleId="10">
    <w:name w:val="页脚 Char"/>
    <w:basedOn w:val="6"/>
    <w:link w:val="4"/>
    <w:uiPriority w:val="0"/>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CFQS</Company>
  <Pages>9</Pages>
  <Words>3870</Words>
  <Characters>439</Characters>
  <Lines>3</Lines>
  <Paragraphs>8</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2020-03-17T05:44:00Z</dcterms:created>
  <dc:creator>Apache POI</dc:creator>
  <cp:lastModifiedBy>董廷俊</cp:lastModifiedBy>
  <dcterms:modified xsi:type="dcterms:W3CDTF">2020-03-19T03:02:27Z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