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3" w:rsidRPr="003F6313" w:rsidRDefault="003F6313" w:rsidP="003F6313">
      <w:pPr>
        <w:widowControl/>
        <w:shd w:val="clear" w:color="auto" w:fill="FFFFFF"/>
        <w:ind w:right="9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bookmarkStart w:id="0" w:name="_GoBack"/>
      <w:r w:rsidRPr="003F6313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食品</w:t>
      </w:r>
      <w:bookmarkEnd w:id="0"/>
      <w:r w:rsidRPr="003F6313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安全国家标准</w:t>
      </w:r>
    </w:p>
    <w:p w:rsidR="003F6313" w:rsidRPr="003F6313" w:rsidRDefault="003F6313" w:rsidP="003F6313">
      <w:pPr>
        <w:widowControl/>
        <w:shd w:val="clear" w:color="auto" w:fill="FFFFFF"/>
        <w:spacing w:line="1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18"/>
          <w:szCs w:val="18"/>
        </w:rPr>
        <w:t> </w:t>
      </w:r>
    </w:p>
    <w:p w:rsidR="003F6313" w:rsidRPr="003F6313" w:rsidRDefault="003F6313" w:rsidP="003F6313">
      <w:pPr>
        <w:widowControl/>
        <w:shd w:val="clear" w:color="auto" w:fill="FFFFFF"/>
        <w:ind w:left="4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巴氏杀菌乳</w:t>
      </w:r>
      <w:r w:rsidRPr="003F6313">
        <w:rPr>
          <w:rFonts w:ascii="Helvetica" w:eastAsia="宋体" w:hAnsi="Helvetica" w:cs="Helvetica"/>
          <w:color w:val="3E3E3E"/>
          <w:kern w:val="0"/>
          <w:sz w:val="11"/>
          <w:szCs w:val="11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National</w:t>
      </w:r>
      <w:proofErr w:type="gramStart"/>
      <w:r w:rsidRPr="003F6313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  food</w:t>
      </w:r>
      <w:proofErr w:type="gramEnd"/>
      <w:r w:rsidRPr="003F6313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 xml:space="preserve"> safety standard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Pasteurized</w:t>
      </w:r>
      <w:proofErr w:type="gramStart"/>
      <w:r w:rsidRPr="003F6313">
        <w:rPr>
          <w:rFonts w:ascii="Helvetica" w:eastAsia="宋体" w:hAnsi="Helvetica" w:cs="Helvetica"/>
          <w:b/>
          <w:bCs/>
          <w:color w:val="3E3E3E"/>
          <w:kern w:val="0"/>
          <w:sz w:val="32"/>
          <w:szCs w:val="32"/>
        </w:rPr>
        <w:t>  milk</w:t>
      </w:r>
      <w:proofErr w:type="gramEnd"/>
      <w:r w:rsidRPr="003F6313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1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0"/>
          <w:szCs w:val="20"/>
        </w:rPr>
        <w:t> </w:t>
      </w:r>
    </w:p>
    <w:p w:rsidR="003F6313" w:rsidRPr="003F6313" w:rsidRDefault="003F6313" w:rsidP="003F6313">
      <w:pPr>
        <w:widowControl/>
        <w:shd w:val="clear" w:color="auto" w:fill="FFFFFF"/>
        <w:ind w:right="9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（第一次讨论稿）</w:t>
      </w:r>
      <w:r w:rsidRPr="003F6313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中国农业科学院北京畜牧兽医研究所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农业部奶及奶制品质量监督检验测试中心（北京）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农业部奶产品质量安全风险评估实验室（北京）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9"/>
          <w:szCs w:val="29"/>
        </w:rPr>
        <w:t> 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等线" w:eastAsia="等线" w:hAnsi="等线" w:cs="Helvetica" w:hint="eastAsia"/>
          <w:color w:val="3E3E3E"/>
          <w:kern w:val="0"/>
          <w:sz w:val="20"/>
          <w:szCs w:val="20"/>
        </w:rPr>
        <w:br w:type="textWrapping" w:clear="all"/>
      </w:r>
    </w:p>
    <w:p w:rsidR="003F6313" w:rsidRPr="003F6313" w:rsidRDefault="003F6313" w:rsidP="003F6313">
      <w:pPr>
        <w:widowControl/>
        <w:shd w:val="clear" w:color="auto" w:fill="FFFFFF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微软雅黑" w:eastAsia="微软雅黑" w:hAnsi="微软雅黑" w:cs="Helvetica" w:hint="eastAsia"/>
          <w:b/>
          <w:bCs/>
          <w:color w:val="3E3E3E"/>
          <w:kern w:val="0"/>
          <w:sz w:val="29"/>
          <w:szCs w:val="29"/>
        </w:rPr>
        <w:t>前     言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本标准代替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GB19645—2010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《食品安全国家标准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  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巴氏杀菌乳》</w:t>
      </w: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。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本标准与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GB19645—2010</w:t>
      </w: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相比，主要变化如下：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修改了巴氏杀菌乳的定义；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修改了对原料的要求；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增加了巴氏杀菌程度的评价指标；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——</w:t>
      </w:r>
      <w:r w:rsidRPr="003F6313">
        <w:rPr>
          <w:rFonts w:ascii="Helvetica" w:eastAsia="宋体" w:hAnsi="Helvetica" w:cs="Helvetica"/>
          <w:b/>
          <w:bCs/>
          <w:color w:val="FF0000"/>
          <w:kern w:val="0"/>
          <w:sz w:val="20"/>
          <w:szCs w:val="20"/>
        </w:rPr>
        <w:t>增加了储存和运输的要求。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本标准所代替标准的历次版本发布情况为：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0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——GB19645—2005</w:t>
      </w: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、</w:t>
      </w: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GB 19645—2010</w:t>
      </w:r>
      <w:r w:rsidRPr="003F6313">
        <w:rPr>
          <w:rFonts w:ascii="Helvetica" w:eastAsia="宋体" w:hAnsi="Helvetica" w:cs="Helvetica"/>
          <w:b/>
          <w:bCs/>
          <w:color w:val="3E3E3E"/>
          <w:kern w:val="0"/>
          <w:sz w:val="20"/>
          <w:szCs w:val="20"/>
        </w:rPr>
        <w:t>。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17"/>
          <w:szCs w:val="17"/>
        </w:rPr>
        <w:br w:type="textWrapping" w:clear="all"/>
      </w:r>
    </w:p>
    <w:p w:rsidR="003F6313" w:rsidRPr="003F6313" w:rsidRDefault="003F6313" w:rsidP="003F6313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范围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000000"/>
          <w:kern w:val="0"/>
          <w:sz w:val="24"/>
          <w:szCs w:val="24"/>
        </w:rPr>
        <w:t>本标准适用于全脂、脱脂和部分脱脂巴氏杀菌乳。</w:t>
      </w:r>
    </w:p>
    <w:p w:rsidR="003F6313" w:rsidRPr="003F6313" w:rsidRDefault="003F6313" w:rsidP="003F6313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规范性引用文件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本标准中引用的文件对于本标准的应用是必不可少的。凡是注日期的引用文件，仅所注日期的版本适用于本标准。凡是不注日期的引用文件，其新版本（包括所有的修改单）适用于本标准。</w:t>
      </w:r>
    </w:p>
    <w:p w:rsidR="003F6313" w:rsidRPr="003F6313" w:rsidRDefault="003F6313" w:rsidP="003F6313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术语和定义</w:t>
      </w:r>
    </w:p>
    <w:p w:rsidR="003F6313" w:rsidRPr="003F6313" w:rsidRDefault="003F6313" w:rsidP="003F6313">
      <w:pPr>
        <w:widowControl/>
        <w:shd w:val="clear" w:color="auto" w:fill="FFFFFF"/>
        <w:spacing w:line="405" w:lineRule="atLeast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下列术语和定义适用于本文件。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3.1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巴氏杀菌乳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pasteurized milk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仅以生牛（羊）乳为原料，经巴氏杀菌工序制得的液体产品。</w:t>
      </w:r>
    </w:p>
    <w:p w:rsidR="003F6313" w:rsidRPr="003F6313" w:rsidRDefault="003F6313" w:rsidP="003F6313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在有效杀灭病原性微生物的同时，产生最低程度的化学、物理以及感官变化的加工方法，常用的是低温长时间保持法（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63</w:t>
      </w:r>
      <w:r w:rsidRPr="003F6313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℃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，保持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30 min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）和高温短时间连续法（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72</w:t>
      </w:r>
      <w:r w:rsidRPr="003F6313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℃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~80</w:t>
      </w:r>
      <w:r w:rsidRPr="003F6313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℃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至少保持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15 s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，或相当者）两类，如表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1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所示。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表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1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 xml:space="preserve">　巴氏杀菌工艺</w:t>
      </w:r>
    </w:p>
    <w:tbl>
      <w:tblPr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678"/>
      </w:tblGrid>
      <w:tr w:rsidR="003F6313" w:rsidRPr="003F6313" w:rsidTr="003F6313">
        <w:trPr>
          <w:trHeight w:val="5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           </w:t>
            </w:r>
            <w:proofErr w:type="gramStart"/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 xml:space="preserve">温　　</w:t>
            </w:r>
            <w:proofErr w:type="gramEnd"/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度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               </w:t>
            </w:r>
            <w:proofErr w:type="gramStart"/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 xml:space="preserve">时　　</w:t>
            </w:r>
            <w:proofErr w:type="gramEnd"/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间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63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30 min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72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~80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15 s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89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1.0 s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90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0.5 s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94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0.1 s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96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0.05 s</w:t>
            </w:r>
          </w:p>
        </w:tc>
      </w:tr>
      <w:tr w:rsidR="003F6313" w:rsidRPr="003F6313" w:rsidTr="003F6313">
        <w:trPr>
          <w:trHeight w:val="51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100</w:t>
            </w:r>
            <w:r w:rsidRPr="003F6313">
              <w:rPr>
                <w:rFonts w:ascii="宋体" w:eastAsia="宋体" w:hAnsi="宋体" w:cs="宋体"/>
                <w:color w:val="FF0000"/>
                <w:kern w:val="0"/>
                <w:szCs w:val="21"/>
              </w:rPr>
              <w:t>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Cs w:val="21"/>
              </w:rPr>
              <w:t>0.01 s</w:t>
            </w:r>
          </w:p>
        </w:tc>
      </w:tr>
    </w:tbl>
    <w:p w:rsidR="003F6313" w:rsidRPr="003F6313" w:rsidRDefault="003F6313" w:rsidP="003F6313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技术要求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4.1　原料要求：</w:t>
      </w:r>
      <w:proofErr w:type="gramStart"/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生乳应符合</w:t>
      </w:r>
      <w:proofErr w:type="gramEnd"/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GB19301的要求，</w:t>
      </w:r>
      <w:r w:rsidRPr="003F6313">
        <w:rPr>
          <w:rFonts w:ascii="黑体" w:eastAsia="黑体" w:hAnsi="黑体" w:cs="Helvetica" w:hint="eastAsia"/>
          <w:color w:val="FF0000"/>
          <w:kern w:val="0"/>
          <w:sz w:val="24"/>
          <w:szCs w:val="24"/>
        </w:rPr>
        <w:t>此外，巴氏杀菌前奶罐中菌落总数不得超过30万CFU/mL（g）</w:t>
      </w: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。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4.2　感官要求：应符合表2的规定。</w:t>
      </w:r>
    </w:p>
    <w:p w:rsidR="003F6313" w:rsidRPr="003F6313" w:rsidRDefault="003F6313" w:rsidP="003F6313">
      <w:pPr>
        <w:widowControl/>
        <w:shd w:val="clear" w:color="auto" w:fill="FFFFFF"/>
        <w:ind w:left="11" w:right="31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Calibri" w:eastAsia="黑体" w:hAnsi="Calibri" w:cs="Calibri"/>
          <w:color w:val="3E3E3E"/>
          <w:kern w:val="0"/>
          <w:sz w:val="24"/>
          <w:szCs w:val="24"/>
        </w:rPr>
        <w:t> </w:t>
      </w:r>
    </w:p>
    <w:p w:rsidR="003F6313" w:rsidRPr="003F6313" w:rsidRDefault="003F6313" w:rsidP="003F6313">
      <w:pPr>
        <w:widowControl/>
        <w:shd w:val="clear" w:color="auto" w:fill="FFFFFF"/>
        <w:ind w:left="11" w:right="31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表2 感官要求</w:t>
      </w:r>
    </w:p>
    <w:tbl>
      <w:tblPr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4022"/>
        <w:gridCol w:w="2835"/>
      </w:tblGrid>
      <w:tr w:rsidR="003F6313" w:rsidRPr="003F6313" w:rsidTr="003F6313">
        <w:trPr>
          <w:trHeight w:val="4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right="11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项    目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right="11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要    求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right="11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检验方法</w:t>
            </w:r>
          </w:p>
        </w:tc>
      </w:tr>
      <w:tr w:rsidR="003F6313" w:rsidRPr="003F6313" w:rsidTr="003F6313">
        <w:trPr>
          <w:trHeight w:val="4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色泽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呈乳白色或微黄色。 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取适量试样置于  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50mL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烧杯中，在自然光下观察色泽和组织状态。闻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lastRenderedPageBreak/>
              <w:t>其气味，用温开水漱口，品尝滋味。  </w:t>
            </w:r>
          </w:p>
        </w:tc>
      </w:tr>
      <w:tr w:rsidR="003F6313" w:rsidRPr="003F6313" w:rsidTr="003F6313">
        <w:trPr>
          <w:trHeight w:val="480"/>
        </w:trPr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滋味、气味  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具有乳固有的香味，无异味。  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313" w:rsidRPr="003F6313" w:rsidRDefault="003F6313" w:rsidP="003F6313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3F6313" w:rsidRPr="003F6313" w:rsidTr="003F6313">
        <w:trPr>
          <w:trHeight w:val="645"/>
        </w:trPr>
        <w:tc>
          <w:tcPr>
            <w:tcW w:w="1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lastRenderedPageBreak/>
              <w:t>组织状态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0" w:type="dxa"/>
              <w:right w:w="105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呈均匀一致液体，无凝块、无沉淀、无正常视力可见异物。 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6313" w:rsidRPr="003F6313" w:rsidRDefault="003F6313" w:rsidP="003F6313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lastRenderedPageBreak/>
        <w:t>4.3　理化指标：应符合表3的规定。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br/>
      </w:r>
    </w:p>
    <w:p w:rsidR="003F6313" w:rsidRPr="003F6313" w:rsidRDefault="003F6313" w:rsidP="003F6313">
      <w:pPr>
        <w:widowControl/>
        <w:shd w:val="clear" w:color="auto" w:fill="FFFFFF"/>
        <w:ind w:left="11" w:right="33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表3</w:t>
      </w:r>
      <w:r w:rsidRPr="003F6313">
        <w:rPr>
          <w:rFonts w:ascii="Calibri" w:eastAsia="黑体" w:hAnsi="Calibri" w:cs="Calibri"/>
          <w:color w:val="3E3E3E"/>
          <w:kern w:val="0"/>
          <w:sz w:val="24"/>
          <w:szCs w:val="24"/>
        </w:rPr>
        <w:t> </w:t>
      </w: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 理化指标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35"/>
        <w:gridCol w:w="2977"/>
      </w:tblGrid>
      <w:tr w:rsidR="003F6313" w:rsidRPr="003F6313" w:rsidTr="003F6313">
        <w:trPr>
          <w:trHeight w:val="405"/>
          <w:tblHeader/>
        </w:trPr>
        <w:tc>
          <w:tcPr>
            <w:tcW w:w="2969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项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目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指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标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检验方法</w:t>
            </w:r>
          </w:p>
        </w:tc>
      </w:tr>
      <w:tr w:rsidR="003F6313" w:rsidRPr="003F6313" w:rsidTr="003F6313">
        <w:trPr>
          <w:trHeight w:val="480"/>
        </w:trPr>
        <w:tc>
          <w:tcPr>
            <w:tcW w:w="2969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脂肪/(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g/100g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     </w:t>
            </w:r>
          </w:p>
          <w:p w:rsidR="003F6313" w:rsidRPr="003F6313" w:rsidRDefault="003F6313" w:rsidP="003F6313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全脂</w:t>
            </w: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 xml:space="preserve">                  </w:t>
            </w:r>
            <w:r w:rsidRPr="003F6313">
              <w:rPr>
                <w:rFonts w:ascii="宋体" w:eastAsia="宋体" w:hAnsi="宋体" w:cs="Helvetica" w:hint="eastAsia"/>
                <w:color w:val="FF0000"/>
                <w:kern w:val="0"/>
                <w:sz w:val="18"/>
                <w:szCs w:val="18"/>
              </w:rPr>
              <w:t>≥</w:t>
            </w:r>
          </w:p>
          <w:p w:rsidR="003F6313" w:rsidRPr="003F6313" w:rsidRDefault="003F6313" w:rsidP="003F6313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部分脱脂</w:t>
            </w: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          </w:t>
            </w:r>
          </w:p>
          <w:p w:rsidR="003F6313" w:rsidRPr="003F6313" w:rsidRDefault="003F6313" w:rsidP="003F6313">
            <w:pPr>
              <w:widowControl/>
              <w:wordWrap w:val="0"/>
              <w:ind w:firstLine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脱脂</w:t>
            </w: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 xml:space="preserve">                  ≤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</w:t>
            </w:r>
          </w:p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3.1</w:t>
            </w:r>
          </w:p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1.0~2.0</w:t>
            </w:r>
          </w:p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0.5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GB 5009.6</w:t>
            </w:r>
          </w:p>
        </w:tc>
      </w:tr>
      <w:tr w:rsidR="003F6313" w:rsidRPr="003F6313" w:rsidTr="003F6313">
        <w:trPr>
          <w:trHeight w:val="1215"/>
        </w:trPr>
        <w:tc>
          <w:tcPr>
            <w:tcW w:w="2969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蛋白质/(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g/100g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           </w:t>
            </w:r>
          </w:p>
          <w:p w:rsidR="003F6313" w:rsidRPr="003F6313" w:rsidRDefault="003F6313" w:rsidP="003F6313">
            <w:pPr>
              <w:widowControl/>
              <w:wordWrap w:val="0"/>
              <w:ind w:left="210" w:right="135" w:firstLine="1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牛乳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             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≥</w:t>
            </w:r>
          </w:p>
          <w:p w:rsidR="003F6313" w:rsidRPr="003F6313" w:rsidRDefault="003F6313" w:rsidP="003F6313">
            <w:pPr>
              <w:widowControl/>
              <w:wordWrap w:val="0"/>
              <w:ind w:left="210" w:right="135" w:firstLine="1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羊乳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             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≥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50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</w:t>
            </w:r>
          </w:p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2.9</w:t>
            </w:r>
          </w:p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2.8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0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5009.5</w:t>
            </w:r>
          </w:p>
        </w:tc>
      </w:tr>
      <w:tr w:rsidR="003F6313" w:rsidRPr="003F6313" w:rsidTr="003F6313">
        <w:trPr>
          <w:trHeight w:val="480"/>
        </w:trPr>
        <w:tc>
          <w:tcPr>
            <w:tcW w:w="2969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非脂乳固体/(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g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/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100g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             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≥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3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8.1</w:t>
            </w:r>
          </w:p>
        </w:tc>
        <w:tc>
          <w:tcPr>
            <w:tcW w:w="2977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3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5413.39</w:t>
            </w:r>
          </w:p>
        </w:tc>
      </w:tr>
      <w:tr w:rsidR="003F6313" w:rsidRPr="003F6313" w:rsidTr="003F6313">
        <w:trPr>
          <w:trHeight w:val="555"/>
        </w:trPr>
        <w:tc>
          <w:tcPr>
            <w:tcW w:w="2969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bottom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酸度/(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ºΤ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         </w:t>
            </w:r>
          </w:p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    牛乳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        </w:t>
            </w:r>
          </w:p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    羊乳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       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bottom"/>
            <w:hideMark/>
          </w:tcPr>
          <w:p w:rsidR="003F6313" w:rsidRPr="003F6313" w:rsidRDefault="003F6313" w:rsidP="003F6313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12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～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18</w:t>
            </w: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</w:t>
            </w:r>
          </w:p>
          <w:p w:rsidR="003F6313" w:rsidRPr="003F6313" w:rsidRDefault="003F6313" w:rsidP="003F6313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6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～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13</w:t>
            </w:r>
          </w:p>
        </w:tc>
        <w:tc>
          <w:tcPr>
            <w:tcW w:w="2977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GB 5009.239</w:t>
            </w:r>
          </w:p>
        </w:tc>
      </w:tr>
      <w:tr w:rsidR="003F6313" w:rsidRPr="003F6313" w:rsidTr="003F6313">
        <w:trPr>
          <w:trHeight w:val="555"/>
        </w:trPr>
        <w:tc>
          <w:tcPr>
            <w:tcW w:w="2969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碱性磷酸酶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阴性</w:t>
            </w:r>
          </w:p>
        </w:tc>
        <w:tc>
          <w:tcPr>
            <w:tcW w:w="2977" w:type="dxa"/>
            <w:shd w:val="clear" w:color="auto" w:fill="FFFFFF"/>
            <w:tcMar>
              <w:top w:w="105" w:type="dxa"/>
              <w:left w:w="105" w:type="dxa"/>
              <w:bottom w:w="45" w:type="dxa"/>
              <w:right w:w="135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1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行业标准</w:t>
            </w:r>
          </w:p>
        </w:tc>
      </w:tr>
      <w:tr w:rsidR="003F6313" w:rsidRPr="003F6313" w:rsidTr="003F6313">
        <w:tc>
          <w:tcPr>
            <w:tcW w:w="296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4C00"/>
                <w:kern w:val="0"/>
                <w:sz w:val="18"/>
                <w:szCs w:val="18"/>
              </w:rPr>
              <w:t>糠氨酸</w:t>
            </w:r>
            <w:r w:rsidRPr="003F6313">
              <w:rPr>
                <w:rFonts w:ascii="Helvetica" w:eastAsia="宋体" w:hAnsi="Helvetica" w:cs="Helvetica"/>
                <w:color w:val="FF4C00"/>
                <w:kern w:val="0"/>
                <w:sz w:val="18"/>
                <w:szCs w:val="18"/>
              </w:rPr>
              <w:t xml:space="preserve">                 ≤</w:t>
            </w:r>
          </w:p>
        </w:tc>
        <w:tc>
          <w:tcPr>
            <w:tcW w:w="283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          </w:t>
            </w:r>
            <w:r w:rsidRPr="003F6313">
              <w:rPr>
                <w:rFonts w:ascii="Helvetica" w:eastAsia="宋体" w:hAnsi="Helvetica" w:cs="Helvetica"/>
                <w:color w:val="FF4C00"/>
                <w:kern w:val="0"/>
                <w:sz w:val="18"/>
                <w:szCs w:val="18"/>
              </w:rPr>
              <w:t> 12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t>    NY/T 939</w:t>
            </w:r>
            <w:r w:rsidRPr="003F6313">
              <w:rPr>
                <w:rFonts w:ascii="Helvetica" w:eastAsia="宋体" w:hAnsi="Helvetica" w:cs="Helvetica"/>
                <w:color w:val="FF0000"/>
                <w:kern w:val="0"/>
                <w:sz w:val="18"/>
                <w:szCs w:val="18"/>
              </w:rPr>
              <w:br/>
            </w:r>
          </w:p>
        </w:tc>
      </w:tr>
    </w:tbl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4.4　污染物限量：应符合GB2762的规定。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4.5　真菌毒素限量：应符合GB2761的规定。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4.6　微生物限量：应符合表4的规定。</w:t>
      </w:r>
    </w:p>
    <w:p w:rsidR="003F6313" w:rsidRPr="003F6313" w:rsidRDefault="003F6313" w:rsidP="003F6313">
      <w:pPr>
        <w:widowControl/>
        <w:shd w:val="clear" w:color="auto" w:fill="FFFFFF"/>
        <w:ind w:left="11" w:right="31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>表4</w:t>
      </w:r>
      <w:r w:rsidRPr="003F6313">
        <w:rPr>
          <w:rFonts w:ascii="Calibri" w:eastAsia="黑体" w:hAnsi="Calibri" w:cs="Calibri"/>
          <w:color w:val="3E3E3E"/>
          <w:kern w:val="0"/>
          <w:sz w:val="24"/>
          <w:szCs w:val="24"/>
        </w:rPr>
        <w:t>  </w:t>
      </w: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 微生物限量</w:t>
      </w:r>
    </w:p>
    <w:tbl>
      <w:tblPr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215"/>
        <w:gridCol w:w="896"/>
        <w:gridCol w:w="1892"/>
        <w:gridCol w:w="1124"/>
        <w:gridCol w:w="2268"/>
      </w:tblGrid>
      <w:tr w:rsidR="003F6313" w:rsidRPr="003F6313" w:rsidTr="003F6313">
        <w:trPr>
          <w:trHeight w:val="43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bottom"/>
            <w:hideMark/>
          </w:tcPr>
          <w:p w:rsidR="003F6313" w:rsidRPr="003F6313" w:rsidRDefault="003F6313" w:rsidP="003F6313">
            <w:pPr>
              <w:widowControl/>
              <w:wordWrap w:val="0"/>
              <w:ind w:left="6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采样方案 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vertAlign w:val="superscript"/>
              </w:rPr>
              <w:t>a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及限量(若非指定，均以 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CFU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/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 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或 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CFU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/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mL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表示)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3F6313" w:rsidRPr="003F6313" w:rsidTr="003F6313">
        <w:trPr>
          <w:trHeight w:val="37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项    目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检验方法</w:t>
            </w:r>
          </w:p>
        </w:tc>
      </w:tr>
      <w:tr w:rsidR="003F6313" w:rsidRPr="003F6313" w:rsidTr="003F631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13" w:rsidRPr="003F6313" w:rsidRDefault="003F6313" w:rsidP="003F6313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6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c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M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6313" w:rsidRPr="003F6313" w:rsidRDefault="003F6313" w:rsidP="003F6313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3F6313" w:rsidRPr="003F6313" w:rsidTr="003F6313">
        <w:trPr>
          <w:trHeight w:val="57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4789.2</w:t>
            </w:r>
          </w:p>
        </w:tc>
      </w:tr>
      <w:tr w:rsidR="003F6313" w:rsidRPr="003F6313" w:rsidTr="003F6313">
        <w:trPr>
          <w:trHeight w:val="57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大肠菌群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6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4789.3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平板计数法</w:t>
            </w:r>
          </w:p>
        </w:tc>
      </w:tr>
      <w:tr w:rsidR="003F6313" w:rsidRPr="003F6313" w:rsidTr="003F6313">
        <w:trPr>
          <w:trHeight w:val="57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金黄色葡萄球菌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/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25g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(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mL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4789.10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定性检验</w:t>
            </w:r>
          </w:p>
        </w:tc>
      </w:tr>
      <w:tr w:rsidR="003F6313" w:rsidRPr="003F6313" w:rsidTr="003F6313">
        <w:trPr>
          <w:trHeight w:val="57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lastRenderedPageBreak/>
              <w:t>沙门氏菌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5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0 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/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25  g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(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mL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7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6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4789.4</w:t>
            </w:r>
          </w:p>
        </w:tc>
      </w:tr>
      <w:tr w:rsidR="003F6313" w:rsidRPr="003F6313" w:rsidTr="003F6313">
        <w:trPr>
          <w:trHeight w:val="645"/>
        </w:trPr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3F6313" w:rsidRPr="003F6313" w:rsidRDefault="003F6313" w:rsidP="003F6313">
            <w:pPr>
              <w:widowControl/>
              <w:wordWrap w:val="0"/>
              <w:ind w:left="36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  <w:vertAlign w:val="superscript"/>
              </w:rPr>
              <w:t>a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样品的分析及处理按 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 4789.1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和 </w:t>
            </w:r>
            <w:r w:rsidRPr="003F6313">
              <w:rPr>
                <w:rFonts w:ascii="Helvetica" w:eastAsia="宋体" w:hAnsi="Helvetica" w:cs="Helvetica"/>
                <w:color w:val="3E3E3E"/>
                <w:kern w:val="0"/>
                <w:sz w:val="18"/>
                <w:szCs w:val="18"/>
              </w:rPr>
              <w:t>GB 4789.18 </w:t>
            </w:r>
            <w:r w:rsidRPr="003F6313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执行。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60" w:type="dxa"/>
              <w:right w:w="120" w:type="dxa"/>
            </w:tcMar>
            <w:hideMark/>
          </w:tcPr>
          <w:p w:rsidR="003F6313" w:rsidRPr="003F6313" w:rsidRDefault="003F6313" w:rsidP="003F631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 w:rsidR="003F6313" w:rsidRPr="003F6313" w:rsidRDefault="003F6313" w:rsidP="003F6313">
      <w:pPr>
        <w:widowControl/>
        <w:shd w:val="clear" w:color="auto" w:fill="FFFFFF"/>
        <w:spacing w:before="240" w:after="24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　标签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5.1　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应在产品包装主要展示面上紧邻产品名称的位置，使用不小于产品名称字号且字体高度不小于主要</w:t>
      </w:r>
      <w:proofErr w:type="gramStart"/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展示面</w:t>
      </w:r>
      <w:proofErr w:type="gramEnd"/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高度五分之一的汉字标注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鲜牛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羊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奶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或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鲜牛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羊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乳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3F6313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F6313" w:rsidRPr="003F6313" w:rsidRDefault="003F6313" w:rsidP="003F6313">
      <w:pPr>
        <w:widowControl/>
        <w:shd w:val="clear" w:color="auto" w:fill="FFFFFF"/>
        <w:spacing w:line="262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黑体" w:eastAsia="黑体" w:hAnsi="黑体" w:cs="Helvetica" w:hint="eastAsia"/>
          <w:color w:val="3E3E3E"/>
          <w:kern w:val="0"/>
          <w:sz w:val="24"/>
          <w:szCs w:val="24"/>
        </w:rPr>
        <w:t xml:space="preserve">5.2　</w:t>
      </w:r>
      <w:r w:rsidRPr="003F6313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在产品包装上可标注所用生乳的等级。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6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 xml:space="preserve">　运输与贮存</w:t>
      </w:r>
    </w:p>
    <w:p w:rsidR="003F6313" w:rsidRPr="003F6313" w:rsidRDefault="003F6313" w:rsidP="003F6313">
      <w:pPr>
        <w:widowControl/>
        <w:shd w:val="clear" w:color="auto" w:fill="FFFFFF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运输产品时应使用冷藏车，运输与贮存温度为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2</w:t>
      </w:r>
      <w:r w:rsidRPr="003F63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~6</w:t>
      </w:r>
      <w:r w:rsidRPr="003F631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</w:t>
      </w:r>
      <w:r w:rsidRPr="003F6313">
        <w:rPr>
          <w:rFonts w:ascii="Helvetica" w:eastAsia="宋体" w:hAnsi="Helvetica" w:cs="Helvetica"/>
          <w:color w:val="FF0000"/>
          <w:kern w:val="0"/>
          <w:sz w:val="24"/>
          <w:szCs w:val="24"/>
        </w:rPr>
        <w:t>。</w:t>
      </w:r>
    </w:p>
    <w:p w:rsidR="00425BFE" w:rsidRPr="003F6313" w:rsidRDefault="00425BFE" w:rsidP="003F6313"/>
    <w:sectPr w:rsidR="00425BFE" w:rsidRPr="003F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A7"/>
    <w:rsid w:val="003F6313"/>
    <w:rsid w:val="00425BFE"/>
    <w:rsid w:val="004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2941-E5E6-4840-B110-E04ABAF0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6313"/>
    <w:rPr>
      <w:b/>
      <w:bCs/>
    </w:rPr>
  </w:style>
  <w:style w:type="character" w:customStyle="1" w:styleId="apple-converted-space">
    <w:name w:val="apple-converted-space"/>
    <w:basedOn w:val="a0"/>
    <w:rsid w:val="003F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Xiaofan Li</dc:creator>
  <cp:keywords/>
  <dc:description/>
  <cp:lastModifiedBy>Xiaofan Li</cp:lastModifiedBy>
  <cp:revision>3</cp:revision>
  <cp:lastPrinted>2018-02-24T01:29:00Z</cp:lastPrinted>
  <dcterms:created xsi:type="dcterms:W3CDTF">2018-02-24T01:19:00Z</dcterms:created>
  <dcterms:modified xsi:type="dcterms:W3CDTF">2018-02-24T01:29:00Z</dcterms:modified>
</cp:coreProperties>
</file>